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CD" w:rsidRDefault="00661ACD" w:rsidP="00661A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r w:rsidRPr="00661ACD">
        <w:rPr>
          <w:rFonts w:ascii="Segoe UI" w:eastAsia="Times New Roman" w:hAnsi="Segoe UI" w:cs="Segoe UI"/>
          <w:b/>
          <w:bCs/>
          <w:kern w:val="36"/>
          <w:sz w:val="48"/>
          <w:szCs w:val="48"/>
        </w:rPr>
        <w:drawing>
          <wp:inline distT="0" distB="0" distL="0" distR="0">
            <wp:extent cx="1908175" cy="189865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CD" w:rsidRPr="00661ACD" w:rsidRDefault="00661ACD" w:rsidP="00661A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proofErr w:type="spellStart"/>
      <w:r w:rsidRPr="00661ACD">
        <w:rPr>
          <w:rFonts w:ascii="Arial" w:eastAsia="Times New Roman" w:hAnsi="Arial" w:cs="Arial"/>
          <w:b/>
          <w:bCs/>
          <w:kern w:val="36"/>
          <w:sz w:val="36"/>
          <w:szCs w:val="36"/>
        </w:rPr>
        <w:t>Sapna</w:t>
      </w:r>
      <w:proofErr w:type="spellEnd"/>
      <w:r w:rsidRPr="00661ACD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</w:t>
      </w:r>
      <w:proofErr w:type="spellStart"/>
      <w:r w:rsidRPr="00661ACD">
        <w:rPr>
          <w:rFonts w:ascii="Arial" w:eastAsia="Times New Roman" w:hAnsi="Arial" w:cs="Arial"/>
          <w:b/>
          <w:bCs/>
          <w:kern w:val="36"/>
          <w:sz w:val="36"/>
          <w:szCs w:val="36"/>
        </w:rPr>
        <w:t>Jhangiani</w:t>
      </w:r>
      <w:proofErr w:type="spellEnd"/>
      <w:r w:rsidRPr="00661ACD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KC</w:t>
      </w:r>
    </w:p>
    <w:p w:rsidR="00661ACD" w:rsidRPr="00661ACD" w:rsidRDefault="00661ACD" w:rsidP="00661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ACD">
        <w:rPr>
          <w:rFonts w:ascii="Arial" w:eastAsia="Times New Roman" w:hAnsi="Arial" w:cs="Arial"/>
          <w:sz w:val="24"/>
          <w:szCs w:val="24"/>
        </w:rPr>
        <w:t xml:space="preserve">Barrister &amp; Advocate | Chartered Arbitrator | Mediator | Chair, </w:t>
      </w:r>
      <w:proofErr w:type="spellStart"/>
      <w:r w:rsidRPr="00661ACD">
        <w:rPr>
          <w:rFonts w:ascii="Arial" w:eastAsia="Times New Roman" w:hAnsi="Arial" w:cs="Arial"/>
          <w:sz w:val="24"/>
          <w:szCs w:val="24"/>
        </w:rPr>
        <w:t>CIArb</w:t>
      </w:r>
      <w:proofErr w:type="spellEnd"/>
      <w:r w:rsidRPr="00661ACD">
        <w:rPr>
          <w:rFonts w:ascii="Arial" w:eastAsia="Times New Roman" w:hAnsi="Arial" w:cs="Arial"/>
          <w:sz w:val="24"/>
          <w:szCs w:val="24"/>
        </w:rPr>
        <w:t xml:space="preserve"> Singapore I Vice Chair, ICC Commission on Arbitration and ADR</w:t>
      </w:r>
    </w:p>
    <w:p w:rsidR="00000000" w:rsidRDefault="00466F2B"/>
    <w:p w:rsidR="00661ACD" w:rsidRPr="0034105B" w:rsidRDefault="00661ACD" w:rsidP="009F78E3">
      <w:pPr>
        <w:spacing w:before="540"/>
        <w:ind w:left="270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  <w:proofErr w:type="spellStart"/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>Sapna</w:t>
      </w:r>
      <w:proofErr w:type="spellEnd"/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is called to the Bar of England and Wales, and </w:t>
      </w:r>
      <w:proofErr w:type="spellStart"/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>practised</w:t>
      </w:r>
      <w:proofErr w:type="spellEnd"/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at the Independent Bar in London before joining </w:t>
      </w:r>
      <w:r w:rsidRPr="0034105B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Clyde &amp; Co’s Dubai office in 2006. She rel</w:t>
      </w:r>
      <w:r w:rsidRPr="0034105B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ocated to Singapore in 2011. In her career she has managed commercial disputes spanning a wide range of industries and governed by different institutional rules such as those of the </w:t>
      </w:r>
      <w:r w:rsidRPr="0034105B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International Chamber of Commerce (ICC), London Court of International Arbitration (LCIA), Singapore </w:t>
      </w:r>
      <w:r w:rsidRPr="0034105B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International Arbitration Centre (SIAC), </w:t>
      </w:r>
      <w:proofErr w:type="gramStart"/>
      <w:r w:rsidRPr="0034105B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Singapore</w:t>
      </w:r>
      <w:proofErr w:type="gramEnd"/>
      <w:r w:rsidRPr="0034105B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Centre for Maritime Arbitration (SCMA), and Dubai </w:t>
      </w:r>
      <w:r w:rsidRPr="0034105B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International Arbitration Centre (DIAC). She has represented clients in trials and preliminary applications before 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arbitral tribunals, the UK Civil Courts (including the Supreme Court), and the Courts of the Dubai International Financial Centre (DIFC). In addition, </w:t>
      </w:r>
      <w:proofErr w:type="spellStart"/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>Sapna</w:t>
      </w:r>
      <w:proofErr w:type="spellEnd"/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 has several appointments as an arbitrator from the DIAC, SIAC and ICC, </w:t>
      </w:r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and is a Fellow of the Chartered Institute of Arbitrators and the Singapore Institute of Arbitrators. She is the Chairperson </w:t>
      </w:r>
      <w:r w:rsidRPr="0034105B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of the Singapore branch of the Chartered Institute of Arbitrators. She is a member of the ICC Taskforce on </w:t>
      </w:r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the Probative Value of Witness Evidence, the Queen Mary-ICCA taskforce on Third Party Funding, and the SIAC </w:t>
      </w:r>
      <w:r w:rsidRPr="0034105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Users’ Council. She has been praised by Chambers and Partners for "</w:t>
      </w:r>
      <w:r w:rsidRPr="0034105B"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</w:rPr>
        <w:t>wonderful work and a creative mind</w:t>
      </w:r>
      <w:r w:rsidRPr="0034105B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" and 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was recently named in </w:t>
      </w:r>
      <w:proofErr w:type="gramStart"/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>Who's</w:t>
      </w:r>
      <w:proofErr w:type="gramEnd"/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 Who Legal's list of foremost international arbitration practitioners aged under 45.</w:t>
      </w:r>
    </w:p>
    <w:p w:rsidR="00661ACD" w:rsidRDefault="00661ACD" w:rsidP="009F78E3">
      <w:pPr>
        <w:spacing w:before="252"/>
        <w:ind w:left="270"/>
        <w:jc w:val="both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She writes regularly on international arbitration in international arbitration journals as well as the </w:t>
      </w:r>
      <w:proofErr w:type="spellStart"/>
      <w:r w:rsidRPr="0034105B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>Kluwer</w:t>
      </w:r>
      <w:proofErr w:type="spellEnd"/>
      <w:r w:rsidRPr="0034105B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34105B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>international arbitration blog</w:t>
      </w:r>
      <w:r w:rsidRPr="0034105B">
        <w:rPr>
          <w:rFonts w:ascii="Times New Roman" w:hAnsi="Times New Roman" w:cs="Times New Roman"/>
          <w:spacing w:val="-2"/>
          <w:w w:val="105"/>
          <w:sz w:val="24"/>
          <w:szCs w:val="24"/>
        </w:rPr>
        <w:t>,</w:t>
      </w:r>
      <w:r w:rsidRPr="0034105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and contributed to the practitioner’s text “Arbitration in Singapore: A Practical </w:t>
      </w:r>
      <w:r w:rsidRPr="0034105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Guide” published by Thom</w:t>
      </w:r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>son</w:t>
      </w:r>
      <w:r w:rsidR="00702FED"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</w:t>
      </w:r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Reuters. </w:t>
      </w:r>
      <w:proofErr w:type="spellStart"/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>Sapna</w:t>
      </w:r>
      <w:proofErr w:type="spellEnd"/>
      <w:r w:rsidRPr="0034105B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holds a degree from Oxford University and was awarded a diploma 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>in international commercial arbitration by Queen Mary University, graduating with distinction.</w:t>
      </w:r>
    </w:p>
    <w:p w:rsidR="0034105B" w:rsidRPr="0034105B" w:rsidRDefault="0034105B" w:rsidP="009F78E3">
      <w:pPr>
        <w:spacing w:before="252"/>
        <w:ind w:left="270"/>
        <w:jc w:val="both"/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</w:pPr>
    </w:p>
    <w:p w:rsidR="00661ACD" w:rsidRPr="0034105B" w:rsidRDefault="00661ACD" w:rsidP="0034105B">
      <w:pPr>
        <w:tabs>
          <w:tab w:val="left" w:pos="450"/>
        </w:tabs>
        <w:spacing w:before="288"/>
        <w:ind w:left="450" w:hanging="450"/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lastRenderedPageBreak/>
        <w:t>Representative Experience:</w:t>
      </w:r>
    </w:p>
    <w:p w:rsidR="00661ACD" w:rsidRPr="00466F2B" w:rsidRDefault="00661ACD" w:rsidP="0034105B">
      <w:pPr>
        <w:numPr>
          <w:ilvl w:val="0"/>
          <w:numId w:val="1"/>
        </w:numPr>
        <w:tabs>
          <w:tab w:val="clear" w:pos="432"/>
          <w:tab w:val="left" w:pos="450"/>
          <w:tab w:val="decimal" w:pos="792"/>
        </w:tabs>
        <w:spacing w:before="216" w:after="0" w:line="240" w:lineRule="auto"/>
        <w:ind w:left="450" w:right="144" w:hanging="450"/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SCMA arbitration of a dispute relating to the construction of an offshore rig worth nearly USD 200 million </w:t>
      </w:r>
      <w:r w:rsidRPr="0034105B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–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 the highest case before the SCMA at the time</w:t>
      </w:r>
    </w:p>
    <w:p w:rsidR="00661ACD" w:rsidRPr="0034105B" w:rsidRDefault="00661ACD" w:rsidP="0034105B">
      <w:pPr>
        <w:numPr>
          <w:ilvl w:val="0"/>
          <w:numId w:val="1"/>
        </w:numPr>
        <w:tabs>
          <w:tab w:val="clear" w:pos="432"/>
          <w:tab w:val="left" w:pos="450"/>
          <w:tab w:val="decimal" w:pos="792"/>
        </w:tabs>
        <w:spacing w:after="0" w:line="240" w:lineRule="auto"/>
        <w:ind w:left="450" w:right="144" w:hanging="450"/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 xml:space="preserve">Lead advocate representing a Singapore-based hotel operator in successfully suing a Dubai entity in DIAC </w:t>
      </w:r>
      <w:r w:rsidRPr="0034105B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>proceedings for substantial compensation for wrongful termination of a hotel management agreement</w:t>
      </w:r>
    </w:p>
    <w:p w:rsidR="00661ACD" w:rsidRPr="0034105B" w:rsidRDefault="00661ACD" w:rsidP="0034105B">
      <w:pPr>
        <w:numPr>
          <w:ilvl w:val="0"/>
          <w:numId w:val="1"/>
        </w:numPr>
        <w:tabs>
          <w:tab w:val="clear" w:pos="432"/>
          <w:tab w:val="left" w:pos="450"/>
          <w:tab w:val="decimal" w:pos="792"/>
        </w:tabs>
        <w:spacing w:after="0" w:line="240" w:lineRule="auto"/>
        <w:ind w:left="450" w:right="288" w:hanging="450"/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</w:rPr>
        <w:t xml:space="preserve">Dispute between a Jordanian contractor and an Indian sub-contractor pursuant to the construction of a 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power plant in Kurdistan </w:t>
      </w:r>
      <w:r w:rsidRPr="0034105B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–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 concurrent ICC proceedings in Paris and Indian Court proceedings</w:t>
      </w:r>
    </w:p>
    <w:p w:rsidR="009F78E3" w:rsidRPr="0034105B" w:rsidRDefault="00661ACD" w:rsidP="0034105B">
      <w:pPr>
        <w:numPr>
          <w:ilvl w:val="0"/>
          <w:numId w:val="1"/>
        </w:numPr>
        <w:tabs>
          <w:tab w:val="clear" w:pos="432"/>
          <w:tab w:val="left" w:pos="450"/>
          <w:tab w:val="decimal" w:pos="792"/>
        </w:tabs>
        <w:spacing w:after="0" w:line="240" w:lineRule="auto"/>
        <w:ind w:left="450" w:right="144" w:hanging="450"/>
        <w:rPr>
          <w:rFonts w:ascii="Times New Roman" w:hAnsi="Times New Roman" w:cs="Times New Roman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 xml:space="preserve">LCIA arbitration in London between an Indian steel conglomerate, a commodities trading company based </w:t>
      </w:r>
      <w:r w:rsidRPr="0034105B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 xml:space="preserve">in the Middle East and an Australian mining company in relation to a USD 50 million contract for the </w:t>
      </w:r>
      <w:r w:rsidRPr="0034105B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>supply of coal</w:t>
      </w:r>
    </w:p>
    <w:p w:rsidR="009F78E3" w:rsidRPr="0034105B" w:rsidRDefault="009F78E3" w:rsidP="0034105B">
      <w:pPr>
        <w:numPr>
          <w:ilvl w:val="0"/>
          <w:numId w:val="2"/>
        </w:numPr>
        <w:tabs>
          <w:tab w:val="clear" w:pos="504"/>
          <w:tab w:val="left" w:pos="450"/>
          <w:tab w:val="decimal" w:pos="864"/>
        </w:tabs>
        <w:spacing w:after="0" w:line="278" w:lineRule="exact"/>
        <w:ind w:left="450" w:right="576" w:hanging="4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SIAC arbitration involving a claim by a Mauritian Investor against an Indian company for a refund of </w:t>
      </w:r>
      <w:r w:rsidRPr="0034105B">
        <w:rPr>
          <w:rFonts w:ascii="Times New Roman" w:hAnsi="Times New Roman" w:cs="Times New Roman"/>
          <w:color w:val="000000"/>
          <w:sz w:val="24"/>
          <w:szCs w:val="24"/>
        </w:rPr>
        <w:t>money paid under a share subscription agreement governed by Indian Law</w:t>
      </w:r>
    </w:p>
    <w:p w:rsidR="009F78E3" w:rsidRPr="0034105B" w:rsidRDefault="009F78E3" w:rsidP="0034105B">
      <w:pPr>
        <w:numPr>
          <w:ilvl w:val="0"/>
          <w:numId w:val="1"/>
        </w:numPr>
        <w:tabs>
          <w:tab w:val="clear" w:pos="432"/>
          <w:tab w:val="left" w:pos="450"/>
          <w:tab w:val="decimal" w:pos="792"/>
        </w:tabs>
        <w:spacing w:after="0" w:line="275" w:lineRule="exact"/>
        <w:ind w:left="450" w:right="72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z w:val="24"/>
          <w:szCs w:val="24"/>
        </w:rPr>
        <w:t>Ad hoc arbitration in Delhi, India between a contractor and sub-contractor in relation to the construction of a pipeline in North Africa for a government client</w:t>
      </w:r>
    </w:p>
    <w:p w:rsidR="009F78E3" w:rsidRPr="0034105B" w:rsidRDefault="009F78E3" w:rsidP="0034105B">
      <w:pPr>
        <w:numPr>
          <w:ilvl w:val="0"/>
          <w:numId w:val="2"/>
        </w:numPr>
        <w:tabs>
          <w:tab w:val="clear" w:pos="504"/>
          <w:tab w:val="left" w:pos="450"/>
          <w:tab w:val="decimal" w:pos="864"/>
        </w:tabs>
        <w:spacing w:after="0" w:line="275" w:lineRule="exact"/>
        <w:ind w:left="450" w:right="360" w:hanging="4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UNCITRAL arbitration between a UK multinational and a state government in the Middle East under a </w:t>
      </w:r>
      <w:r w:rsidRPr="0034105B">
        <w:rPr>
          <w:rFonts w:ascii="Times New Roman" w:hAnsi="Times New Roman" w:cs="Times New Roman"/>
          <w:color w:val="000000"/>
          <w:sz w:val="24"/>
          <w:szCs w:val="24"/>
        </w:rPr>
        <w:t>bilateral investment treaty</w:t>
      </w:r>
    </w:p>
    <w:p w:rsidR="009F78E3" w:rsidRPr="0034105B" w:rsidRDefault="009F78E3" w:rsidP="0034105B">
      <w:pPr>
        <w:numPr>
          <w:ilvl w:val="0"/>
          <w:numId w:val="2"/>
        </w:numPr>
        <w:tabs>
          <w:tab w:val="clear" w:pos="504"/>
          <w:tab w:val="left" w:pos="450"/>
          <w:tab w:val="decimal" w:pos="864"/>
        </w:tabs>
        <w:spacing w:after="0" w:line="278" w:lineRule="exact"/>
        <w:ind w:left="450" w:right="648" w:hanging="45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ICC arbitration in Paris in relation to a multi-million dollar joint venture dispute between an Italian </w:t>
      </w:r>
      <w:r w:rsidRPr="0034105B">
        <w:rPr>
          <w:rFonts w:ascii="Times New Roman" w:hAnsi="Times New Roman" w:cs="Times New Roman"/>
          <w:color w:val="000000"/>
          <w:sz w:val="24"/>
          <w:szCs w:val="24"/>
        </w:rPr>
        <w:t>chemicals multinational and a company based in the Middle East</w:t>
      </w:r>
    </w:p>
    <w:p w:rsidR="009F78E3" w:rsidRPr="0034105B" w:rsidRDefault="009F78E3" w:rsidP="0034105B">
      <w:pPr>
        <w:numPr>
          <w:ilvl w:val="0"/>
          <w:numId w:val="2"/>
        </w:numPr>
        <w:tabs>
          <w:tab w:val="clear" w:pos="504"/>
          <w:tab w:val="left" w:pos="450"/>
          <w:tab w:val="decimal" w:pos="864"/>
        </w:tabs>
        <w:spacing w:before="36" w:after="0" w:line="282" w:lineRule="exact"/>
        <w:ind w:left="450" w:right="144" w:hanging="4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10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LCIA arbitration in London in respect of a consultancy agreement for services provided in relation to the </w:t>
      </w:r>
      <w:r w:rsidRPr="0034105B">
        <w:rPr>
          <w:rFonts w:ascii="Times New Roman" w:hAnsi="Times New Roman" w:cs="Times New Roman"/>
          <w:color w:val="000000"/>
          <w:sz w:val="24"/>
          <w:szCs w:val="24"/>
        </w:rPr>
        <w:t>Qatar gas-to-liquids project</w:t>
      </w:r>
    </w:p>
    <w:p w:rsidR="009F78E3" w:rsidRPr="0034105B" w:rsidRDefault="009F78E3" w:rsidP="0034105B">
      <w:pPr>
        <w:tabs>
          <w:tab w:val="left" w:pos="450"/>
        </w:tabs>
        <w:spacing w:before="396" w:line="253" w:lineRule="exact"/>
        <w:ind w:left="450" w:hanging="450"/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</w:rPr>
      </w:pPr>
      <w:r w:rsidRPr="0034105B"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</w:rPr>
        <w:t>Contact</w:t>
      </w:r>
    </w:p>
    <w:p w:rsidR="009F78E3" w:rsidRPr="0034105B" w:rsidRDefault="009F78E3" w:rsidP="0034105B">
      <w:pPr>
        <w:tabs>
          <w:tab w:val="left" w:pos="450"/>
        </w:tabs>
        <w:spacing w:after="0" w:line="240" w:lineRule="auto"/>
        <w:ind w:left="450" w:right="6840" w:hanging="450"/>
        <w:rPr>
          <w:rFonts w:ascii="Times New Roman" w:hAnsi="Times New Roman" w:cs="Times New Roman"/>
          <w:b/>
          <w:i/>
          <w:color w:val="000000"/>
          <w:spacing w:val="-7"/>
          <w:w w:val="105"/>
          <w:sz w:val="24"/>
          <w:szCs w:val="24"/>
        </w:rPr>
      </w:pPr>
      <w:proofErr w:type="gramStart"/>
      <w:r w:rsidRPr="0034105B">
        <w:rPr>
          <w:rFonts w:ascii="Times New Roman" w:hAnsi="Times New Roman" w:cs="Times New Roman"/>
          <w:b/>
          <w:i/>
          <w:color w:val="000000"/>
          <w:spacing w:val="-7"/>
          <w:w w:val="105"/>
          <w:sz w:val="24"/>
          <w:szCs w:val="24"/>
        </w:rPr>
        <w:t xml:space="preserve">Clyde &amp; Co </w:t>
      </w:r>
      <w:proofErr w:type="spellStart"/>
      <w:r w:rsidRPr="0034105B">
        <w:rPr>
          <w:rFonts w:ascii="Times New Roman" w:hAnsi="Times New Roman" w:cs="Times New Roman"/>
          <w:b/>
          <w:i/>
          <w:color w:val="000000"/>
          <w:spacing w:val="-7"/>
          <w:w w:val="105"/>
          <w:sz w:val="24"/>
          <w:szCs w:val="24"/>
        </w:rPr>
        <w:t>Clasis</w:t>
      </w:r>
      <w:proofErr w:type="spellEnd"/>
      <w:r w:rsidRPr="0034105B">
        <w:rPr>
          <w:rFonts w:ascii="Times New Roman" w:hAnsi="Times New Roman" w:cs="Times New Roman"/>
          <w:b/>
          <w:i/>
          <w:color w:val="000000"/>
          <w:spacing w:val="-7"/>
          <w:w w:val="105"/>
          <w:sz w:val="24"/>
          <w:szCs w:val="24"/>
        </w:rPr>
        <w:t xml:space="preserve"> Singapore </w:t>
      </w:r>
      <w:proofErr w:type="spellStart"/>
      <w:r w:rsidRPr="0034105B">
        <w:rPr>
          <w:rFonts w:ascii="Times New Roman" w:hAnsi="Times New Roman" w:cs="Times New Roman"/>
          <w:b/>
          <w:i/>
          <w:color w:val="000000"/>
          <w:spacing w:val="-7"/>
          <w:w w:val="105"/>
          <w:sz w:val="24"/>
          <w:szCs w:val="24"/>
        </w:rPr>
        <w:t>Pte.</w:t>
      </w:r>
      <w:proofErr w:type="spellEnd"/>
      <w:proofErr w:type="gramEnd"/>
      <w:r w:rsidRPr="0034105B">
        <w:rPr>
          <w:rFonts w:ascii="Times New Roman" w:hAnsi="Times New Roman" w:cs="Times New Roman"/>
          <w:b/>
          <w:i/>
          <w:color w:val="000000"/>
          <w:spacing w:val="-7"/>
          <w:w w:val="105"/>
          <w:sz w:val="24"/>
          <w:szCs w:val="24"/>
        </w:rPr>
        <w:t xml:space="preserve"> Ltd. </w:t>
      </w:r>
      <w:r w:rsidRPr="0034105B">
        <w:rPr>
          <w:rFonts w:ascii="Times New Roman" w:hAnsi="Times New Roman" w:cs="Times New Roman"/>
          <w:i/>
          <w:color w:val="000000"/>
          <w:spacing w:val="-4"/>
          <w:w w:val="105"/>
          <w:sz w:val="24"/>
          <w:szCs w:val="24"/>
        </w:rPr>
        <w:t>12 Marina Boulevard</w:t>
      </w:r>
    </w:p>
    <w:p w:rsidR="009F78E3" w:rsidRPr="0034105B" w:rsidRDefault="009F78E3" w:rsidP="0034105B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</w:pPr>
      <w:r w:rsidRPr="0034105B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>#30-03</w:t>
      </w:r>
    </w:p>
    <w:p w:rsidR="009F78E3" w:rsidRPr="0034105B" w:rsidRDefault="009F78E3" w:rsidP="0034105B">
      <w:pPr>
        <w:tabs>
          <w:tab w:val="left" w:pos="450"/>
        </w:tabs>
        <w:spacing w:after="0" w:line="240" w:lineRule="auto"/>
        <w:ind w:left="450" w:right="6840" w:hanging="450"/>
        <w:rPr>
          <w:rFonts w:ascii="Times New Roman" w:hAnsi="Times New Roman" w:cs="Times New Roman"/>
          <w:i/>
          <w:color w:val="000000"/>
          <w:spacing w:val="-8"/>
          <w:w w:val="105"/>
          <w:sz w:val="24"/>
          <w:szCs w:val="24"/>
        </w:rPr>
      </w:pPr>
      <w:r w:rsidRPr="0034105B">
        <w:rPr>
          <w:rFonts w:ascii="Times New Roman" w:hAnsi="Times New Roman" w:cs="Times New Roman"/>
          <w:i/>
          <w:color w:val="000000"/>
          <w:spacing w:val="-8"/>
          <w:w w:val="105"/>
          <w:sz w:val="24"/>
          <w:szCs w:val="24"/>
        </w:rPr>
        <w:t xml:space="preserve">Marina Bay Financial Centre Tower 3 </w:t>
      </w:r>
      <w:r w:rsidRPr="0034105B">
        <w:rPr>
          <w:rFonts w:ascii="Times New Roman" w:hAnsi="Times New Roman" w:cs="Times New Roman"/>
          <w:i/>
          <w:color w:val="000000"/>
          <w:spacing w:val="-4"/>
          <w:w w:val="105"/>
          <w:sz w:val="24"/>
          <w:szCs w:val="24"/>
        </w:rPr>
        <w:t>Singapore 018982</w:t>
      </w:r>
    </w:p>
    <w:p w:rsidR="009F78E3" w:rsidRPr="0034105B" w:rsidRDefault="009F78E3" w:rsidP="0034105B">
      <w:pPr>
        <w:tabs>
          <w:tab w:val="left" w:pos="450"/>
          <w:tab w:val="right" w:pos="2109"/>
        </w:tabs>
        <w:spacing w:after="0" w:line="240" w:lineRule="auto"/>
        <w:ind w:left="450" w:hanging="450"/>
        <w:rPr>
          <w:rFonts w:ascii="Times New Roman" w:hAnsi="Times New Roman" w:cs="Times New Roman"/>
          <w:i/>
          <w:color w:val="000000"/>
          <w:spacing w:val="-18"/>
          <w:w w:val="105"/>
          <w:sz w:val="24"/>
          <w:szCs w:val="24"/>
        </w:rPr>
      </w:pPr>
      <w:r w:rsidRPr="0034105B">
        <w:rPr>
          <w:rFonts w:ascii="Times New Roman" w:hAnsi="Times New Roman" w:cs="Times New Roman"/>
          <w:i/>
          <w:color w:val="000000"/>
          <w:spacing w:val="-18"/>
          <w:w w:val="105"/>
          <w:sz w:val="24"/>
          <w:szCs w:val="24"/>
        </w:rPr>
        <w:t>Tel:</w:t>
      </w:r>
      <w:r w:rsidRPr="0034105B">
        <w:rPr>
          <w:rFonts w:ascii="Times New Roman" w:hAnsi="Times New Roman" w:cs="Times New Roman"/>
          <w:i/>
          <w:color w:val="000000"/>
          <w:spacing w:val="-18"/>
          <w:w w:val="105"/>
          <w:sz w:val="24"/>
          <w:szCs w:val="24"/>
        </w:rPr>
        <w:tab/>
      </w:r>
      <w:r w:rsidRPr="0034105B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>+65 65446578</w:t>
      </w:r>
    </w:p>
    <w:p w:rsidR="00661ACD" w:rsidRPr="0034105B" w:rsidRDefault="009F78E3" w:rsidP="0034105B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hyperlink r:id="rId6">
        <w:r w:rsidRPr="0034105B">
          <w:rPr>
            <w:rFonts w:ascii="Times New Roman" w:hAnsi="Times New Roman" w:cs="Times New Roman"/>
            <w:i/>
            <w:color w:val="0000FF"/>
            <w:spacing w:val="-4"/>
            <w:w w:val="105"/>
            <w:sz w:val="24"/>
            <w:szCs w:val="24"/>
            <w:u w:val="single"/>
          </w:rPr>
          <w:t>E-mail: sapna.jhangiani@clydeco.com</w:t>
        </w:r>
      </w:hyperlink>
    </w:p>
    <w:sectPr w:rsidR="00661ACD" w:rsidRPr="0034105B" w:rsidSect="009F78E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27"/>
    <w:multiLevelType w:val="multilevel"/>
    <w:tmpl w:val="042E9A2C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D3F89"/>
    <w:multiLevelType w:val="multilevel"/>
    <w:tmpl w:val="F876493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ACD"/>
    <w:rsid w:val="000F5A38"/>
    <w:rsid w:val="0034105B"/>
    <w:rsid w:val="00361A58"/>
    <w:rsid w:val="00466F2B"/>
    <w:rsid w:val="00661ACD"/>
    <w:rsid w:val="0067240D"/>
    <w:rsid w:val="00702FED"/>
    <w:rsid w:val="009F78E3"/>
    <w:rsid w:val="00C5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istance-badge">
    <w:name w:val="distance-badge"/>
    <w:basedOn w:val="DefaultParagraphFont"/>
    <w:rsid w:val="00661ACD"/>
  </w:style>
  <w:style w:type="character" w:customStyle="1" w:styleId="visually-hidden">
    <w:name w:val="visually-hidden"/>
    <w:basedOn w:val="DefaultParagraphFont"/>
    <w:rsid w:val="00661ACD"/>
  </w:style>
  <w:style w:type="character" w:customStyle="1" w:styleId="dist-value">
    <w:name w:val="dist-value"/>
    <w:basedOn w:val="DefaultParagraphFont"/>
    <w:rsid w:val="00661ACD"/>
  </w:style>
  <w:style w:type="paragraph" w:styleId="BalloonText">
    <w:name w:val="Balloon Text"/>
    <w:basedOn w:val="Normal"/>
    <w:link w:val="BalloonTextChar"/>
    <w:uiPriority w:val="99"/>
    <w:semiHidden/>
    <w:unhideWhenUsed/>
    <w:rsid w:val="006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na.jhangiani@clyde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Rahman Runa</dc:creator>
  <cp:lastModifiedBy>Mahbuba Rahman Runa</cp:lastModifiedBy>
  <cp:revision>10</cp:revision>
  <dcterms:created xsi:type="dcterms:W3CDTF">2022-12-22T07:18:00Z</dcterms:created>
  <dcterms:modified xsi:type="dcterms:W3CDTF">2022-12-22T07:32:00Z</dcterms:modified>
</cp:coreProperties>
</file>